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42C1F" w14:textId="5E138F6A" w:rsidR="00EF6DE9" w:rsidRDefault="00EF6DE9" w:rsidP="00646FBE">
      <w:pPr>
        <w:jc w:val="both"/>
        <w:rPr>
          <w:b/>
        </w:rPr>
      </w:pPr>
      <w:bookmarkStart w:id="0" w:name="_GoBack"/>
      <w:bookmarkEnd w:id="0"/>
      <w:r w:rsidRPr="00EF6DE9">
        <w:rPr>
          <w:b/>
        </w:rPr>
        <w:t>Cazana Response to the SMMT New Car Figures</w:t>
      </w:r>
      <w:r w:rsidR="00E6442F">
        <w:rPr>
          <w:b/>
        </w:rPr>
        <w:t xml:space="preserve"> – </w:t>
      </w:r>
      <w:r w:rsidR="008C62D3">
        <w:rPr>
          <w:b/>
        </w:rPr>
        <w:t>April</w:t>
      </w:r>
      <w:r w:rsidR="00C73D1C">
        <w:rPr>
          <w:b/>
        </w:rPr>
        <w:t xml:space="preserve"> 5th</w:t>
      </w:r>
      <w:r w:rsidR="00630F74">
        <w:rPr>
          <w:b/>
        </w:rPr>
        <w:t xml:space="preserve"> 201</w:t>
      </w:r>
      <w:r w:rsidR="00C73D1C">
        <w:rPr>
          <w:b/>
        </w:rPr>
        <w:t>8</w:t>
      </w:r>
    </w:p>
    <w:p w14:paraId="2612FFA0" w14:textId="734B8357" w:rsidR="003E6D5A" w:rsidRDefault="003E6D5A" w:rsidP="00646FBE">
      <w:pPr>
        <w:jc w:val="both"/>
      </w:pPr>
      <w:r>
        <w:t xml:space="preserve">The latest release from the SMMT </w:t>
      </w:r>
      <w:r w:rsidR="00D6288A">
        <w:t xml:space="preserve">shows a significant drop in new car registrations for the month of March 2018 with total market volume having declined by 15.7%. This may seem to be a significant and worrying drop but </w:t>
      </w:r>
      <w:r w:rsidR="0023505E">
        <w:t xml:space="preserve">it </w:t>
      </w:r>
      <w:r w:rsidR="00D6288A">
        <w:t xml:space="preserve">must be put in context as registrations in March 2017 were in many ways a false forced market driven by the need to register cars before the change in VED taxation imposed by the government. </w:t>
      </w:r>
      <w:proofErr w:type="gramStart"/>
      <w:r w:rsidR="00D6288A">
        <w:t>However</w:t>
      </w:r>
      <w:proofErr w:type="gramEnd"/>
      <w:r w:rsidR="00D6288A">
        <w:t xml:space="preserve"> taking a wider view</w:t>
      </w:r>
      <w:r w:rsidR="0023505E">
        <w:t>,</w:t>
      </w:r>
      <w:r w:rsidR="00D6288A">
        <w:t xml:space="preserve"> the year to date market decline now sits at 12.4% which is not a good picture. Cazana expect this to improve as the year continues and predict a total market fall during 2018 somewhere in the region of </w:t>
      </w:r>
      <w:r w:rsidR="0023505E">
        <w:t>6.5%.</w:t>
      </w:r>
    </w:p>
    <w:p w14:paraId="388A17E4" w14:textId="50E73A53" w:rsidR="0023505E" w:rsidRPr="003E6D5A" w:rsidRDefault="0023505E" w:rsidP="00646FBE">
      <w:pPr>
        <w:jc w:val="both"/>
      </w:pPr>
      <w:r>
        <w:t>Diesel registrations for the month have declined by 37.2% taking the drop year to date to 33.3% as the general public are still unclear of the cleanliness of the latest Euro 6 engines. Press speculation remains misguided in many instances and market share for diesels rests at 32.4% for the month and 33.5% year to date, the latter reflects a 10.5% drop. Petrol cars now command 61.4% of the market share year to date, up 9.4% in comparison to 2017 with alternative fuel vehicles improving market share by 1% to 5.1%. There are already warnings over the increase in CO2 in the atmosphere as the volume of petrol cars hit the roads.</w:t>
      </w:r>
    </w:p>
    <w:p w14:paraId="0E91D1C2" w14:textId="0D6DB9DC" w:rsidR="00532810" w:rsidRDefault="0023505E" w:rsidP="00646FBE">
      <w:pPr>
        <w:jc w:val="both"/>
      </w:pPr>
      <w:r>
        <w:t>The used car market data from the Cazana.com database paints a more positive picture and as predicted by Cazana, 2018 looks set to be the year of the used car. The chart below shows</w:t>
      </w:r>
      <w:r w:rsidR="00532810" w:rsidRPr="00532810">
        <w:t xml:space="preserve"> full market performance </w:t>
      </w:r>
      <w:r>
        <w:t xml:space="preserve">based on retail pricing </w:t>
      </w:r>
      <w:r w:rsidR="00C716CB">
        <w:t xml:space="preserve">for key stock profiles </w:t>
      </w:r>
      <w:r w:rsidR="00532810" w:rsidRPr="00532810">
        <w:t>year on year</w:t>
      </w:r>
      <w:r>
        <w:t xml:space="preserve"> and it is clear that the retail market has some strength.</w:t>
      </w:r>
    </w:p>
    <w:p w14:paraId="03A796B0" w14:textId="1796E411" w:rsidR="0023505E" w:rsidRDefault="0023505E" w:rsidP="00646FBE">
      <w:pPr>
        <w:jc w:val="both"/>
      </w:pPr>
      <w:r>
        <w:rPr>
          <w:noProof/>
        </w:rPr>
        <w:drawing>
          <wp:inline distT="0" distB="0" distL="0" distR="0" wp14:anchorId="12B80D23" wp14:editId="748F82B2">
            <wp:extent cx="5743575" cy="2314575"/>
            <wp:effectExtent l="0" t="0" r="9525" b="9525"/>
            <wp:docPr id="4" name="Chart 4">
              <a:extLst xmlns:a="http://schemas.openxmlformats.org/drawingml/2006/main">
                <a:ext uri="{FF2B5EF4-FFF2-40B4-BE49-F238E27FC236}">
                  <a16:creationId xmlns:a16="http://schemas.microsoft.com/office/drawing/2014/main" id="{B8DE25A0-5E0C-4C9F-89ED-AA21C2199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A5D7923" w14:textId="2723C168" w:rsidR="00C73D1C" w:rsidRDefault="00C73D1C">
      <w:pPr>
        <w:rPr>
          <w:b/>
        </w:rPr>
      </w:pPr>
      <w:r w:rsidRPr="00C73D1C">
        <w:rPr>
          <w:b/>
        </w:rPr>
        <w:t>Data powered by cazana.com</w:t>
      </w:r>
    </w:p>
    <w:p w14:paraId="566BB3BE" w14:textId="3E43700B" w:rsidR="0023505E" w:rsidRDefault="0023505E" w:rsidP="00646FBE">
      <w:pPr>
        <w:jc w:val="both"/>
      </w:pPr>
      <w:r>
        <w:t xml:space="preserve">Last month saw a </w:t>
      </w:r>
      <w:proofErr w:type="gramStart"/>
      <w:r>
        <w:t>drop in</w:t>
      </w:r>
      <w:proofErr w:type="gramEnd"/>
      <w:r>
        <w:t xml:space="preserve"> retail pricing in both key sectors, although for March pricing has remained firm for the ex-fleet market cars with a minimal drop in pricing for ex PCP vehicles. This strength in pricing is encouraging given that the volume of cars returning for sale have been increasing suggesting the retail consumer is focussed on the used car market and has confidence to buy. This will have been helped by new and innovative used car PCP finance offerings.</w:t>
      </w:r>
    </w:p>
    <w:p w14:paraId="3B9FA6B8" w14:textId="3C2E2858" w:rsidR="0023505E" w:rsidRDefault="0023505E" w:rsidP="0023505E">
      <w:pPr>
        <w:jc w:val="both"/>
      </w:pPr>
      <w:r>
        <w:t xml:space="preserve">Given the large drop in new diesel car sales in March and the continued press demonization of the propulsion type, the Cazana data relating to the diesel market is of key interest. </w:t>
      </w:r>
      <w:r w:rsidR="00363832" w:rsidRPr="00C716CB">
        <w:t xml:space="preserve">The </w:t>
      </w:r>
      <w:r w:rsidR="00646FBE" w:rsidRPr="00C716CB">
        <w:t xml:space="preserve">next </w:t>
      </w:r>
      <w:r w:rsidR="00363832" w:rsidRPr="00C716CB">
        <w:t xml:space="preserve">chart shows </w:t>
      </w:r>
      <w:r w:rsidR="00A416F7">
        <w:t>the comparison year on year for</w:t>
      </w:r>
      <w:r w:rsidR="00363832" w:rsidRPr="00C716CB">
        <w:t xml:space="preserve"> a </w:t>
      </w:r>
      <w:proofErr w:type="gramStart"/>
      <w:r w:rsidR="00363832" w:rsidRPr="00C716CB">
        <w:t>3</w:t>
      </w:r>
      <w:r w:rsidR="00646FBE" w:rsidRPr="00C716CB">
        <w:t xml:space="preserve"> </w:t>
      </w:r>
      <w:r w:rsidR="00A416F7">
        <w:t>year old</w:t>
      </w:r>
      <w:proofErr w:type="gramEnd"/>
      <w:r w:rsidR="00A416F7">
        <w:t xml:space="preserve"> vehicle</w:t>
      </w:r>
      <w:r w:rsidR="00363832" w:rsidRPr="00C716CB">
        <w:t xml:space="preserve"> as a percentage of the original cost new of the vehicle</w:t>
      </w:r>
      <w:r>
        <w:t xml:space="preserve"> and compares petrol against diesel at key mileages to reflect both ex PCP product and ex Fleet cars</w:t>
      </w:r>
      <w:r w:rsidR="00363832" w:rsidRPr="00C716CB">
        <w:t>.</w:t>
      </w:r>
    </w:p>
    <w:p w14:paraId="04082153" w14:textId="435D8B40" w:rsidR="00C73D1C" w:rsidRDefault="0023505E">
      <w:r>
        <w:rPr>
          <w:noProof/>
        </w:rPr>
        <w:lastRenderedPageBreak/>
        <w:drawing>
          <wp:inline distT="0" distB="0" distL="0" distR="0" wp14:anchorId="3859ECF5" wp14:editId="3994B430">
            <wp:extent cx="6029325" cy="2466975"/>
            <wp:effectExtent l="0" t="0" r="9525" b="9525"/>
            <wp:docPr id="1" name="Chart 1">
              <a:extLst xmlns:a="http://schemas.openxmlformats.org/drawingml/2006/main">
                <a:ext uri="{FF2B5EF4-FFF2-40B4-BE49-F238E27FC236}">
                  <a16:creationId xmlns:a16="http://schemas.microsoft.com/office/drawing/2014/main" id="{2C646BBC-824C-4FDF-B33F-0671BB32A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0D7F75" w14:textId="77777777" w:rsidR="00363832" w:rsidRDefault="00363832" w:rsidP="00363832">
      <w:pPr>
        <w:rPr>
          <w:b/>
        </w:rPr>
      </w:pPr>
      <w:r w:rsidRPr="00C73D1C">
        <w:rPr>
          <w:b/>
        </w:rPr>
        <w:t>Data powered by cazana.com</w:t>
      </w:r>
    </w:p>
    <w:p w14:paraId="348195A8" w14:textId="4BB394CC" w:rsidR="0023505E" w:rsidRPr="0023505E" w:rsidRDefault="0023505E" w:rsidP="00646FBE">
      <w:pPr>
        <w:jc w:val="both"/>
      </w:pPr>
      <w:r w:rsidRPr="0023505E">
        <w:t>For ex Fleet cars there has been a stabilisation of retail pricing for diesel product which contradicts the position of the new car market. However, it is interesting to see that there has been a 4% increase in retail pricing for petrol vehicles of this type suggesting improved demand. Ex PCP product also shows positive performance for petrol powered cars with retail asking prices up 3% whilst diesel cars have dropped by 1%. Increased retail values could also be affected by the volume of certain cars coming to the market but the message is clear that year on year petrol cars have experienced an increase in values.</w:t>
      </w:r>
    </w:p>
    <w:p w14:paraId="0A635339" w14:textId="42F8EEA8" w:rsidR="00363832" w:rsidRPr="0023505E" w:rsidRDefault="00363832" w:rsidP="00646FBE">
      <w:pPr>
        <w:jc w:val="both"/>
      </w:pPr>
      <w:r w:rsidRPr="0023505E">
        <w:t>To complete the</w:t>
      </w:r>
      <w:r w:rsidR="007A1AE4" w:rsidRPr="0023505E">
        <w:t xml:space="preserve"> market summary for </w:t>
      </w:r>
      <w:r w:rsidR="0023505E" w:rsidRPr="0023505E">
        <w:t>March</w:t>
      </w:r>
      <w:r w:rsidR="003E6ED6" w:rsidRPr="0023505E">
        <w:t xml:space="preserve"> 2018 the chart below shows </w:t>
      </w:r>
      <w:r w:rsidR="007A1AE4" w:rsidRPr="0023505E">
        <w:t xml:space="preserve">the performance by fuel type of vehicles at 2years old and 24k which is a fairer representation of the mileage likely to be covered by hybrid vehicles. </w:t>
      </w:r>
    </w:p>
    <w:p w14:paraId="62E87C6B" w14:textId="6E2B2FE3" w:rsidR="0023505E" w:rsidRDefault="0023505E" w:rsidP="00646FBE">
      <w:pPr>
        <w:jc w:val="both"/>
        <w:rPr>
          <w:color w:val="FF0000"/>
        </w:rPr>
      </w:pPr>
      <w:r>
        <w:rPr>
          <w:noProof/>
        </w:rPr>
        <w:drawing>
          <wp:inline distT="0" distB="0" distL="0" distR="0" wp14:anchorId="09D91413" wp14:editId="777562FF">
            <wp:extent cx="5876925" cy="2324100"/>
            <wp:effectExtent l="0" t="0" r="9525" b="0"/>
            <wp:docPr id="5" name="Chart 5">
              <a:extLst xmlns:a="http://schemas.openxmlformats.org/drawingml/2006/main">
                <a:ext uri="{FF2B5EF4-FFF2-40B4-BE49-F238E27FC236}">
                  <a16:creationId xmlns:a16="http://schemas.microsoft.com/office/drawing/2014/main" id="{81B9D129-21F1-4EDB-9113-767941BC9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2C7D72" w14:textId="77777777" w:rsidR="00E92E3D" w:rsidRDefault="00E92E3D" w:rsidP="00E92E3D">
      <w:pPr>
        <w:rPr>
          <w:b/>
        </w:rPr>
      </w:pPr>
      <w:r w:rsidRPr="00C73D1C">
        <w:rPr>
          <w:b/>
        </w:rPr>
        <w:t>Data powered by cazana.com</w:t>
      </w:r>
    </w:p>
    <w:p w14:paraId="67B6D838" w14:textId="77777777" w:rsidR="0023505E" w:rsidRDefault="0023505E" w:rsidP="009108CE">
      <w:pPr>
        <w:jc w:val="both"/>
      </w:pPr>
      <w:r w:rsidRPr="0023505E">
        <w:t>March data clearly defines a significant increase in retail pricing for AFV’s. This month retail pricing has shown an 8% increase in values in comparison with February which showed a 7% upturn. With low data volumes for this propulsion type it is worth noting that pricing can be volatile and affected by the type of cars returning to the market. However, the message for diesel powered cars is consistent and a 2% decline is notable but not excessive and contrary to the 1% increase in petrol retail pricing as a percentage of cost new.</w:t>
      </w:r>
    </w:p>
    <w:p w14:paraId="22CEF7A7" w14:textId="6C91C5B1" w:rsidR="0096458D" w:rsidRDefault="00646FBE" w:rsidP="009108CE">
      <w:pPr>
        <w:jc w:val="both"/>
      </w:pPr>
      <w:r>
        <w:lastRenderedPageBreak/>
        <w:t xml:space="preserve">This data provides powerful metrics based on dynamic retail pricing from today’s market. </w:t>
      </w:r>
      <w:r w:rsidR="0023505E">
        <w:t>Cazana review over 16,000 websites daily and analyse in excess of 10 million data points annually. Naturally s</w:t>
      </w:r>
      <w:r>
        <w:t>eeking insight and intelligence from narrower criteria will enable businesses to focus specifically on key trading areas and Cazana are able to provide value and specific relevance to maximise on financial performance on request.</w:t>
      </w:r>
    </w:p>
    <w:p w14:paraId="2F59FFFA" w14:textId="77777777" w:rsidR="0023505E" w:rsidRDefault="0023505E" w:rsidP="009108CE">
      <w:pPr>
        <w:jc w:val="both"/>
      </w:pPr>
    </w:p>
    <w:p w14:paraId="721BDED2" w14:textId="77777777" w:rsidR="009108CE" w:rsidRDefault="009108CE" w:rsidP="009108CE">
      <w:pPr>
        <w:spacing w:after="0"/>
        <w:rPr>
          <w:b/>
        </w:rPr>
      </w:pPr>
      <w:r>
        <w:rPr>
          <w:b/>
        </w:rPr>
        <w:t>Rupert Pontin</w:t>
      </w:r>
    </w:p>
    <w:p w14:paraId="1E084C69" w14:textId="77777777" w:rsidR="009108CE" w:rsidRDefault="009108CE" w:rsidP="009108CE">
      <w:pPr>
        <w:spacing w:after="0"/>
        <w:rPr>
          <w:b/>
        </w:rPr>
      </w:pPr>
      <w:r>
        <w:rPr>
          <w:b/>
        </w:rPr>
        <w:t>Director of Valuations</w:t>
      </w:r>
    </w:p>
    <w:p w14:paraId="7FAA6B28" w14:textId="00354A9E" w:rsidR="00EF6DE9" w:rsidRDefault="00646FBE" w:rsidP="009108CE">
      <w:pPr>
        <w:spacing w:after="0"/>
        <w:rPr>
          <w:b/>
        </w:rPr>
      </w:pPr>
      <w:r w:rsidRPr="00646FBE">
        <w:rPr>
          <w:b/>
        </w:rPr>
        <w:t>Cazana</w:t>
      </w:r>
    </w:p>
    <w:p w14:paraId="177C4F77" w14:textId="1A5B0374" w:rsidR="009108CE" w:rsidRDefault="0023505E" w:rsidP="009108CE">
      <w:pPr>
        <w:spacing w:after="0"/>
        <w:rPr>
          <w:b/>
        </w:rPr>
      </w:pPr>
      <w:r>
        <w:rPr>
          <w:b/>
        </w:rPr>
        <w:t>April</w:t>
      </w:r>
      <w:r w:rsidR="009108CE">
        <w:rPr>
          <w:b/>
        </w:rPr>
        <w:t xml:space="preserve"> 5</w:t>
      </w:r>
      <w:r w:rsidR="009108CE" w:rsidRPr="009108CE">
        <w:rPr>
          <w:b/>
          <w:vertAlign w:val="superscript"/>
        </w:rPr>
        <w:t>th</w:t>
      </w:r>
      <w:r w:rsidR="009108CE">
        <w:rPr>
          <w:b/>
        </w:rPr>
        <w:t xml:space="preserve"> 2018</w:t>
      </w:r>
    </w:p>
    <w:p w14:paraId="1ACD7C9D" w14:textId="77777777" w:rsidR="009108CE" w:rsidRPr="00EF6DE9" w:rsidRDefault="009108CE" w:rsidP="009108CE">
      <w:pPr>
        <w:spacing w:after="0"/>
        <w:rPr>
          <w:b/>
        </w:rPr>
      </w:pPr>
    </w:p>
    <w:sectPr w:rsidR="009108CE" w:rsidRPr="00EF6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E9"/>
    <w:rsid w:val="00065139"/>
    <w:rsid w:val="00106CEC"/>
    <w:rsid w:val="0016115E"/>
    <w:rsid w:val="00187F56"/>
    <w:rsid w:val="001B01F9"/>
    <w:rsid w:val="001D4D93"/>
    <w:rsid w:val="0023505E"/>
    <w:rsid w:val="00264448"/>
    <w:rsid w:val="00363832"/>
    <w:rsid w:val="00382FA5"/>
    <w:rsid w:val="003A3D97"/>
    <w:rsid w:val="003E6D5A"/>
    <w:rsid w:val="003E6ED6"/>
    <w:rsid w:val="00441C47"/>
    <w:rsid w:val="004526E4"/>
    <w:rsid w:val="00465959"/>
    <w:rsid w:val="00501AE4"/>
    <w:rsid w:val="00526FBE"/>
    <w:rsid w:val="00532810"/>
    <w:rsid w:val="00630F74"/>
    <w:rsid w:val="00646FBE"/>
    <w:rsid w:val="006F1422"/>
    <w:rsid w:val="00723CDF"/>
    <w:rsid w:val="007A1AE4"/>
    <w:rsid w:val="007D2FC7"/>
    <w:rsid w:val="007F6974"/>
    <w:rsid w:val="00897419"/>
    <w:rsid w:val="008B6E1B"/>
    <w:rsid w:val="008C4BFA"/>
    <w:rsid w:val="008C62D3"/>
    <w:rsid w:val="009108CE"/>
    <w:rsid w:val="0096458D"/>
    <w:rsid w:val="009B0337"/>
    <w:rsid w:val="009D5ABA"/>
    <w:rsid w:val="009E775E"/>
    <w:rsid w:val="00A37A25"/>
    <w:rsid w:val="00A416F7"/>
    <w:rsid w:val="00A50D81"/>
    <w:rsid w:val="00AB7501"/>
    <w:rsid w:val="00AE463E"/>
    <w:rsid w:val="00AF6B04"/>
    <w:rsid w:val="00B14F3B"/>
    <w:rsid w:val="00C366FB"/>
    <w:rsid w:val="00C716CB"/>
    <w:rsid w:val="00C73D1C"/>
    <w:rsid w:val="00C802C2"/>
    <w:rsid w:val="00CD774F"/>
    <w:rsid w:val="00D50283"/>
    <w:rsid w:val="00D6288A"/>
    <w:rsid w:val="00DB3CEA"/>
    <w:rsid w:val="00E6442F"/>
    <w:rsid w:val="00E65565"/>
    <w:rsid w:val="00E90CA7"/>
    <w:rsid w:val="00E92E3D"/>
    <w:rsid w:val="00EF6DE9"/>
    <w:rsid w:val="00F62E7D"/>
    <w:rsid w:val="00F76014"/>
    <w:rsid w:val="00FD7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DD4A"/>
  <w15:chartTrackingRefBased/>
  <w15:docId w15:val="{02D4850D-D4C1-47FE-9908-985136F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r>
              <a:rPr lang="en-GB" b="1">
                <a:solidFill>
                  <a:srgbClr val="0070C0"/>
                </a:solidFill>
              </a:rPr>
              <a:t>Full Retail Market Performance as a % of Original Cost New</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endParaRPr lang="en-US"/>
        </a:p>
      </c:txPr>
    </c:title>
    <c:autoTitleDeleted val="0"/>
    <c:plotArea>
      <c:layout/>
      <c:barChart>
        <c:barDir val="bar"/>
        <c:grouping val="clustered"/>
        <c:varyColors val="0"/>
        <c:ser>
          <c:idx val="0"/>
          <c:order val="0"/>
          <c:tx>
            <c:strRef>
              <c:f>'Market Overview'!$C$25</c:f>
              <c:strCache>
                <c:ptCount val="1"/>
                <c:pt idx="0">
                  <c:v>Mar-17</c:v>
                </c:pt>
              </c:strCache>
            </c:strRef>
          </c:tx>
          <c:spPr>
            <a:solidFill>
              <a:schemeClr val="accent1"/>
            </a:solidFill>
            <a:ln>
              <a:noFill/>
            </a:ln>
            <a:effectLst/>
          </c:spPr>
          <c:invertIfNegative val="0"/>
          <c:cat>
            <c:strRef>
              <c:f>'Market Overview'!$D$24:$E$24</c:f>
              <c:strCache>
                <c:ptCount val="2"/>
                <c:pt idx="0">
                  <c:v> Ex PCP - 24/24k </c:v>
                </c:pt>
                <c:pt idx="1">
                  <c:v> Ex Fleet - 36/60k </c:v>
                </c:pt>
              </c:strCache>
            </c:strRef>
          </c:cat>
          <c:val>
            <c:numRef>
              <c:f>'Market Overview'!$D$25:$E$25</c:f>
              <c:numCache>
                <c:formatCode>0%</c:formatCode>
                <c:ptCount val="2"/>
                <c:pt idx="0">
                  <c:v>0.62</c:v>
                </c:pt>
                <c:pt idx="1">
                  <c:v>0.47</c:v>
                </c:pt>
              </c:numCache>
            </c:numRef>
          </c:val>
          <c:extLst>
            <c:ext xmlns:c16="http://schemas.microsoft.com/office/drawing/2014/chart" uri="{C3380CC4-5D6E-409C-BE32-E72D297353CC}">
              <c16:uniqueId val="{00000000-CCC7-4A89-8652-6884699E37A0}"/>
            </c:ext>
          </c:extLst>
        </c:ser>
        <c:ser>
          <c:idx val="1"/>
          <c:order val="1"/>
          <c:tx>
            <c:strRef>
              <c:f>'Market Overview'!$C$26</c:f>
              <c:strCache>
                <c:ptCount val="1"/>
                <c:pt idx="0">
                  <c:v>Mar-18</c:v>
                </c:pt>
              </c:strCache>
            </c:strRef>
          </c:tx>
          <c:spPr>
            <a:solidFill>
              <a:schemeClr val="accent2"/>
            </a:solidFill>
            <a:ln>
              <a:noFill/>
            </a:ln>
            <a:effectLst/>
          </c:spPr>
          <c:invertIfNegative val="0"/>
          <c:cat>
            <c:strRef>
              <c:f>'Market Overview'!$D$24:$E$24</c:f>
              <c:strCache>
                <c:ptCount val="2"/>
                <c:pt idx="0">
                  <c:v> Ex PCP - 24/24k </c:v>
                </c:pt>
                <c:pt idx="1">
                  <c:v> Ex Fleet - 36/60k </c:v>
                </c:pt>
              </c:strCache>
            </c:strRef>
          </c:cat>
          <c:val>
            <c:numRef>
              <c:f>'Market Overview'!$D$26:$E$26</c:f>
              <c:numCache>
                <c:formatCode>0%</c:formatCode>
                <c:ptCount val="2"/>
                <c:pt idx="0">
                  <c:v>0.61</c:v>
                </c:pt>
                <c:pt idx="1">
                  <c:v>0.47</c:v>
                </c:pt>
              </c:numCache>
            </c:numRef>
          </c:val>
          <c:extLst>
            <c:ext xmlns:c16="http://schemas.microsoft.com/office/drawing/2014/chart" uri="{C3380CC4-5D6E-409C-BE32-E72D297353CC}">
              <c16:uniqueId val="{00000001-CCC7-4A89-8652-6884699E37A0}"/>
            </c:ext>
          </c:extLst>
        </c:ser>
        <c:dLbls>
          <c:showLegendKey val="0"/>
          <c:showVal val="0"/>
          <c:showCatName val="0"/>
          <c:showSerName val="0"/>
          <c:showPercent val="0"/>
          <c:showBubbleSize val="0"/>
        </c:dLbls>
        <c:gapWidth val="182"/>
        <c:axId val="443470368"/>
        <c:axId val="443473648"/>
      </c:barChart>
      <c:catAx>
        <c:axId val="443470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43473648"/>
        <c:crosses val="autoZero"/>
        <c:auto val="1"/>
        <c:lblAlgn val="ctr"/>
        <c:lblOffset val="100"/>
        <c:noMultiLvlLbl val="0"/>
      </c:catAx>
      <c:valAx>
        <c:axId val="4434736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4347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70C0"/>
                </a:solidFill>
                <a:latin typeface="+mn-lt"/>
                <a:ea typeface="+mn-ea"/>
                <a:cs typeface="+mn-cs"/>
              </a:defRPr>
            </a:pPr>
            <a:r>
              <a:rPr lang="en-GB" b="1"/>
              <a:t>% of Original Cost New for 3 Year Old Cars Fuel</a:t>
            </a:r>
            <a:r>
              <a:rPr lang="en-GB" b="1" baseline="0"/>
              <a:t> Type Comparison</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70C0"/>
              </a:solidFill>
              <a:latin typeface="+mn-lt"/>
              <a:ea typeface="+mn-ea"/>
              <a:cs typeface="+mn-cs"/>
            </a:defRPr>
          </a:pPr>
          <a:endParaRPr lang="en-US"/>
        </a:p>
      </c:txPr>
    </c:title>
    <c:autoTitleDeleted val="0"/>
    <c:plotArea>
      <c:layout/>
      <c:barChart>
        <c:barDir val="bar"/>
        <c:grouping val="clustered"/>
        <c:varyColors val="0"/>
        <c:ser>
          <c:idx val="0"/>
          <c:order val="0"/>
          <c:tx>
            <c:strRef>
              <c:f>'Petrol &amp; Diesels'!$B$22</c:f>
              <c:strCache>
                <c:ptCount val="1"/>
                <c:pt idx="0">
                  <c:v>Mar-17</c:v>
                </c:pt>
              </c:strCache>
            </c:strRef>
          </c:tx>
          <c:spPr>
            <a:solidFill>
              <a:schemeClr val="accent1"/>
            </a:solidFill>
            <a:ln>
              <a:noFill/>
            </a:ln>
            <a:effectLst/>
          </c:spPr>
          <c:invertIfNegative val="0"/>
          <c:cat>
            <c:multiLvlStrRef>
              <c:f>'Petrol &amp; Diesels'!$C$20:$F$21</c:f>
              <c:multiLvlStrCache>
                <c:ptCount val="4"/>
                <c:lvl>
                  <c:pt idx="0">
                    <c:v>Petrol</c:v>
                  </c:pt>
                  <c:pt idx="1">
                    <c:v>Diesel</c:v>
                  </c:pt>
                  <c:pt idx="2">
                    <c:v>Petrol</c:v>
                  </c:pt>
                  <c:pt idx="3">
                    <c:v>Diesel</c:v>
                  </c:pt>
                </c:lvl>
                <c:lvl>
                  <c:pt idx="0">
                    <c:v>36/36K</c:v>
                  </c:pt>
                  <c:pt idx="2">
                    <c:v> 36/60k </c:v>
                  </c:pt>
                </c:lvl>
              </c:multiLvlStrCache>
            </c:multiLvlStrRef>
          </c:cat>
          <c:val>
            <c:numRef>
              <c:f>'Petrol &amp; Diesels'!$C$22:$F$22</c:f>
              <c:numCache>
                <c:formatCode>0%</c:formatCode>
                <c:ptCount val="4"/>
                <c:pt idx="0">
                  <c:v>0.53</c:v>
                </c:pt>
                <c:pt idx="1">
                  <c:v>0.54</c:v>
                </c:pt>
                <c:pt idx="2">
                  <c:v>0.45</c:v>
                </c:pt>
                <c:pt idx="3">
                  <c:v>0.47</c:v>
                </c:pt>
              </c:numCache>
            </c:numRef>
          </c:val>
          <c:extLst>
            <c:ext xmlns:c16="http://schemas.microsoft.com/office/drawing/2014/chart" uri="{C3380CC4-5D6E-409C-BE32-E72D297353CC}">
              <c16:uniqueId val="{00000000-BA97-4169-829D-32AE930400B4}"/>
            </c:ext>
          </c:extLst>
        </c:ser>
        <c:ser>
          <c:idx val="1"/>
          <c:order val="1"/>
          <c:tx>
            <c:strRef>
              <c:f>'Petrol &amp; Diesels'!$B$23</c:f>
              <c:strCache>
                <c:ptCount val="1"/>
                <c:pt idx="0">
                  <c:v>Mar-18</c:v>
                </c:pt>
              </c:strCache>
            </c:strRef>
          </c:tx>
          <c:spPr>
            <a:solidFill>
              <a:schemeClr val="accent2"/>
            </a:solidFill>
            <a:ln>
              <a:noFill/>
            </a:ln>
            <a:effectLst/>
          </c:spPr>
          <c:invertIfNegative val="0"/>
          <c:cat>
            <c:multiLvlStrRef>
              <c:f>'Petrol &amp; Diesels'!$C$20:$F$21</c:f>
              <c:multiLvlStrCache>
                <c:ptCount val="4"/>
                <c:lvl>
                  <c:pt idx="0">
                    <c:v>Petrol</c:v>
                  </c:pt>
                  <c:pt idx="1">
                    <c:v>Diesel</c:v>
                  </c:pt>
                  <c:pt idx="2">
                    <c:v>Petrol</c:v>
                  </c:pt>
                  <c:pt idx="3">
                    <c:v>Diesel</c:v>
                  </c:pt>
                </c:lvl>
                <c:lvl>
                  <c:pt idx="0">
                    <c:v>36/36K</c:v>
                  </c:pt>
                  <c:pt idx="2">
                    <c:v> 36/60k </c:v>
                  </c:pt>
                </c:lvl>
              </c:multiLvlStrCache>
            </c:multiLvlStrRef>
          </c:cat>
          <c:val>
            <c:numRef>
              <c:f>'Petrol &amp; Diesels'!$C$23:$F$23</c:f>
              <c:numCache>
                <c:formatCode>0%</c:formatCode>
                <c:ptCount val="4"/>
                <c:pt idx="0">
                  <c:v>0.56000000000000005</c:v>
                </c:pt>
                <c:pt idx="1">
                  <c:v>0.53</c:v>
                </c:pt>
                <c:pt idx="2">
                  <c:v>0.49</c:v>
                </c:pt>
                <c:pt idx="3">
                  <c:v>0.47</c:v>
                </c:pt>
              </c:numCache>
            </c:numRef>
          </c:val>
          <c:extLst>
            <c:ext xmlns:c16="http://schemas.microsoft.com/office/drawing/2014/chart" uri="{C3380CC4-5D6E-409C-BE32-E72D297353CC}">
              <c16:uniqueId val="{00000001-BA97-4169-829D-32AE930400B4}"/>
            </c:ext>
          </c:extLst>
        </c:ser>
        <c:dLbls>
          <c:showLegendKey val="0"/>
          <c:showVal val="0"/>
          <c:showCatName val="0"/>
          <c:showSerName val="0"/>
          <c:showPercent val="0"/>
          <c:showBubbleSize val="0"/>
        </c:dLbls>
        <c:gapWidth val="182"/>
        <c:axId val="435135112"/>
        <c:axId val="435145608"/>
      </c:barChart>
      <c:catAx>
        <c:axId val="435135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35145608"/>
        <c:crosses val="autoZero"/>
        <c:auto val="1"/>
        <c:lblAlgn val="ctr"/>
        <c:lblOffset val="100"/>
        <c:noMultiLvlLbl val="0"/>
      </c:catAx>
      <c:valAx>
        <c:axId val="435145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35135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r>
              <a:rPr lang="en-GB"/>
              <a:t>%</a:t>
            </a:r>
            <a:r>
              <a:rPr lang="en-GB" baseline="0"/>
              <a:t> of Original Cost New by Propulsion Type</a:t>
            </a:r>
            <a:endParaRPr lang="en-GB"/>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endParaRPr lang="en-US"/>
        </a:p>
      </c:txPr>
    </c:title>
    <c:autoTitleDeleted val="0"/>
    <c:plotArea>
      <c:layout/>
      <c:barChart>
        <c:barDir val="bar"/>
        <c:grouping val="clustered"/>
        <c:varyColors val="0"/>
        <c:ser>
          <c:idx val="0"/>
          <c:order val="0"/>
          <c:tx>
            <c:strRef>
              <c:f>'Electric &amp; Hybrids '!$E$15</c:f>
              <c:strCache>
                <c:ptCount val="1"/>
                <c:pt idx="0">
                  <c:v>Mar-17</c:v>
                </c:pt>
              </c:strCache>
            </c:strRef>
          </c:tx>
          <c:spPr>
            <a:solidFill>
              <a:schemeClr val="accent1"/>
            </a:solidFill>
            <a:ln>
              <a:noFill/>
            </a:ln>
            <a:effectLst/>
          </c:spPr>
          <c:invertIfNegative val="0"/>
          <c:cat>
            <c:multiLvlStrRef>
              <c:f>'Electric &amp; Hybrids '!$F$13:$H$14</c:f>
              <c:multiLvlStrCache>
                <c:ptCount val="3"/>
                <c:lvl>
                  <c:pt idx="0">
                    <c:v>AFV's</c:v>
                  </c:pt>
                  <c:pt idx="1">
                    <c:v>Petrol</c:v>
                  </c:pt>
                  <c:pt idx="2">
                    <c:v>Diesel</c:v>
                  </c:pt>
                </c:lvl>
                <c:lvl>
                  <c:pt idx="0">
                    <c:v>24/24k</c:v>
                  </c:pt>
                </c:lvl>
              </c:multiLvlStrCache>
            </c:multiLvlStrRef>
          </c:cat>
          <c:val>
            <c:numRef>
              <c:f>'Electric &amp; Hybrids '!$F$15:$H$15</c:f>
              <c:numCache>
                <c:formatCode>0%</c:formatCode>
                <c:ptCount val="3"/>
                <c:pt idx="0">
                  <c:v>0.56999999999999995</c:v>
                </c:pt>
                <c:pt idx="1">
                  <c:v>0.62</c:v>
                </c:pt>
                <c:pt idx="2">
                  <c:v>0.63</c:v>
                </c:pt>
              </c:numCache>
            </c:numRef>
          </c:val>
          <c:extLst>
            <c:ext xmlns:c16="http://schemas.microsoft.com/office/drawing/2014/chart" uri="{C3380CC4-5D6E-409C-BE32-E72D297353CC}">
              <c16:uniqueId val="{00000000-77ED-4E90-8AE7-153E64B3ECD2}"/>
            </c:ext>
          </c:extLst>
        </c:ser>
        <c:ser>
          <c:idx val="1"/>
          <c:order val="1"/>
          <c:tx>
            <c:strRef>
              <c:f>'Electric &amp; Hybrids '!$E$16</c:f>
              <c:strCache>
                <c:ptCount val="1"/>
                <c:pt idx="0">
                  <c:v>Mar-18</c:v>
                </c:pt>
              </c:strCache>
            </c:strRef>
          </c:tx>
          <c:spPr>
            <a:solidFill>
              <a:schemeClr val="accent2"/>
            </a:solidFill>
            <a:ln>
              <a:noFill/>
            </a:ln>
            <a:effectLst/>
          </c:spPr>
          <c:invertIfNegative val="0"/>
          <c:cat>
            <c:multiLvlStrRef>
              <c:f>'Electric &amp; Hybrids '!$F$13:$H$14</c:f>
              <c:multiLvlStrCache>
                <c:ptCount val="3"/>
                <c:lvl>
                  <c:pt idx="0">
                    <c:v>AFV's</c:v>
                  </c:pt>
                  <c:pt idx="1">
                    <c:v>Petrol</c:v>
                  </c:pt>
                  <c:pt idx="2">
                    <c:v>Diesel</c:v>
                  </c:pt>
                </c:lvl>
                <c:lvl>
                  <c:pt idx="0">
                    <c:v>24/24k</c:v>
                  </c:pt>
                </c:lvl>
              </c:multiLvlStrCache>
            </c:multiLvlStrRef>
          </c:cat>
          <c:val>
            <c:numRef>
              <c:f>'Electric &amp; Hybrids '!$F$16:$H$16</c:f>
              <c:numCache>
                <c:formatCode>0%</c:formatCode>
                <c:ptCount val="3"/>
                <c:pt idx="0">
                  <c:v>0.65</c:v>
                </c:pt>
                <c:pt idx="1">
                  <c:v>0.63</c:v>
                </c:pt>
                <c:pt idx="2">
                  <c:v>0.61</c:v>
                </c:pt>
              </c:numCache>
            </c:numRef>
          </c:val>
          <c:extLst>
            <c:ext xmlns:c16="http://schemas.microsoft.com/office/drawing/2014/chart" uri="{C3380CC4-5D6E-409C-BE32-E72D297353CC}">
              <c16:uniqueId val="{00000001-77ED-4E90-8AE7-153E64B3ECD2}"/>
            </c:ext>
          </c:extLst>
        </c:ser>
        <c:dLbls>
          <c:showLegendKey val="0"/>
          <c:showVal val="0"/>
          <c:showCatName val="0"/>
          <c:showSerName val="0"/>
          <c:showPercent val="0"/>
          <c:showBubbleSize val="0"/>
        </c:dLbls>
        <c:gapWidth val="182"/>
        <c:axId val="437588648"/>
        <c:axId val="437588976"/>
      </c:barChart>
      <c:catAx>
        <c:axId val="437588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37588976"/>
        <c:crosses val="autoZero"/>
        <c:auto val="1"/>
        <c:lblAlgn val="ctr"/>
        <c:lblOffset val="100"/>
        <c:noMultiLvlLbl val="0"/>
      </c:catAx>
      <c:valAx>
        <c:axId val="437588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43758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rupert@cazana.com</dc:creator>
  <cp:keywords/>
  <dc:description/>
  <cp:lastModifiedBy>Sanjay Mistry</cp:lastModifiedBy>
  <cp:revision>2</cp:revision>
  <dcterms:created xsi:type="dcterms:W3CDTF">2018-04-16T14:01:00Z</dcterms:created>
  <dcterms:modified xsi:type="dcterms:W3CDTF">2018-04-16T14:01:00Z</dcterms:modified>
</cp:coreProperties>
</file>